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Dear Sir/Madam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 am writing to inform you that I do not give my consent for (XXX) to have any form of the SARS-CoV-2 testing, including the lateral flow testing.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here are many reason why I will not give permission for my (SON/DAUGHTER) to be tested, but my main motive is for health reason. The testing swabs are sterilised in Ethylene Oxide [1], which has been labeled a Group 1 Carcinogen, the most potent form of cancer causing chemical [2]. As well as this major health hazard, there are other </w:t>
      </w:r>
      <w:r>
        <w:rPr>
          <w:rFonts w:ascii="Times New Roman" w:hAnsi="Times New Roman"/>
          <w:sz w:val="24"/>
          <w:szCs w:val="24"/>
          <w:rtl w:val="0"/>
          <w:lang w:val="en-US"/>
        </w:rPr>
        <w:t>detrimental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side effects from short term e</w:t>
      </w:r>
      <w:r>
        <w:rPr>
          <w:rFonts w:ascii="Times New Roman" w:hAnsi="Times New Roman"/>
          <w:sz w:val="24"/>
          <w:szCs w:val="24"/>
          <w:rtl w:val="0"/>
          <w:lang w:val="en-US"/>
        </w:rPr>
        <w:t>xposure to ethylene oxide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which include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include eye and upper respiratory tract irritation, nausea, vomiting, diarrhoea, headache, dizziness, malaise, fatigue, muscle weakness, and signs and symptoms of peripheral neuropathy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[3]. 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Another important point to make is that l</w:t>
      </w:r>
      <w:r>
        <w:rPr>
          <w:rFonts w:ascii="Times New Roman" w:hAnsi="Times New Roman"/>
          <w:rtl w:val="0"/>
          <w:lang w:val="en-US"/>
        </w:rPr>
        <w:t>ateral flow testing is extremely unreliable -</w:t>
      </w:r>
      <w:r>
        <w:rPr>
          <w:rFonts w:ascii="Times New Roman" w:hAnsi="Times New Roman" w:hint="default"/>
          <w:rtl w:val="0"/>
          <w:lang w:val="en-US"/>
        </w:rPr>
        <w:t xml:space="preserve">“ </w:t>
      </w:r>
      <w:r>
        <w:rPr>
          <w:rFonts w:ascii="Times New Roman" w:hAnsi="Times New Roman"/>
          <w:rtl w:val="0"/>
          <w:lang w:val="en-US"/>
        </w:rPr>
        <w:t>University of Birmingham and Scottish universities suggesting that the lateral flow tests had a sensitivity of just 3% (the proportion of people with covid-19 who tested positive) and that 58% of the positives were false positives.</w:t>
      </w:r>
      <w:r>
        <w:rPr>
          <w:rFonts w:ascii="Times New Roman" w:hAnsi="Times New Roman" w:hint="default"/>
          <w:rtl w:val="0"/>
          <w:lang w:val="en-US"/>
        </w:rPr>
        <w:t xml:space="preserve">” </w:t>
      </w:r>
      <w:r>
        <w:rPr>
          <w:rFonts w:ascii="Times New Roman" w:hAnsi="Times New Roman"/>
          <w:rtl w:val="0"/>
          <w:lang w:val="en-US"/>
        </w:rPr>
        <w:t>[4]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Times New Roman" w:cs="Times New Roman" w:hAnsi="Times New Roman" w:eastAsia="Times New Roman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As well as being very unreliable, it is not even a medically accurate form of testing. </w:t>
      </w:r>
      <w:r>
        <w:rPr>
          <w:rFonts w:ascii="Times New Roman" w:hAnsi="Times New Roman" w:hint="default"/>
          <w:rtl w:val="0"/>
          <w:lang w:val="en-US"/>
        </w:rPr>
        <w:t>“</w:t>
      </w:r>
      <w:r>
        <w:rPr>
          <w:rFonts w:ascii="Times New Roman" w:hAnsi="Times New Roman"/>
          <w:rtl w:val="0"/>
          <w:lang w:val="en-US"/>
        </w:rPr>
        <w:t>Previous data from the Liverpool mass testing pilot programme found that lateral flow tests detected just 48.89% of covid-19 infections in asymptomatic people when compared with a polymerase chain reaction (PCR) test. It also found that the Innova Lateral Flow SARS-CoV-2 antigen test failed to detect three in 10 cases with the highest viral loads.</w:t>
      </w:r>
      <w:r>
        <w:rPr>
          <w:rFonts w:ascii="Times New Roman" w:hAnsi="Times New Roman" w:hint="default"/>
          <w:rtl w:val="0"/>
          <w:lang w:val="en-US"/>
        </w:rPr>
        <w:t xml:space="preserve">” </w:t>
      </w:r>
      <w:r>
        <w:rPr>
          <w:rFonts w:ascii="Times New Roman" w:hAnsi="Times New Roman"/>
          <w:rtl w:val="0"/>
          <w:lang w:val="en-US"/>
        </w:rPr>
        <w:t xml:space="preserve">[5] </w:t>
      </w:r>
      <w:r>
        <w:rPr>
          <w:rFonts w:ascii="Times New Roman" w:hAnsi="Times New Roman"/>
          <w:rtl w:val="0"/>
          <w:lang w:val="en-US"/>
        </w:rPr>
        <w:t xml:space="preserve">A minister at the Department of Health and Social Care admitted that mass swab testing was </w:t>
      </w:r>
      <w:r>
        <w:rPr>
          <w:rFonts w:ascii="Times New Roman" w:hAnsi="Times New Roman" w:hint="default"/>
          <w:rtl w:val="0"/>
          <w:lang w:val="en-US"/>
        </w:rPr>
        <w:t>“</w:t>
      </w:r>
      <w:r>
        <w:rPr>
          <w:rFonts w:ascii="Times New Roman" w:hAnsi="Times New Roman"/>
          <w:rtl w:val="0"/>
          <w:lang w:val="en-US"/>
        </w:rPr>
        <w:t>not an accurate way of screening the general population</w:t>
      </w:r>
      <w:r>
        <w:rPr>
          <w:rFonts w:ascii="Times New Roman" w:hAnsi="Times New Roman" w:hint="default"/>
          <w:rtl w:val="0"/>
          <w:lang w:val="en-US"/>
        </w:rPr>
        <w:t xml:space="preserve">” </w:t>
      </w:r>
      <w:r>
        <w:rPr>
          <w:rFonts w:ascii="Times New Roman" w:hAnsi="Times New Roman"/>
          <w:rtl w:val="0"/>
          <w:lang w:val="en-US"/>
        </w:rPr>
        <w:t xml:space="preserve">and could provide false reassurance. </w:t>
      </w:r>
      <w:r>
        <w:rPr>
          <w:rFonts w:ascii="Times New Roman" w:hAnsi="Times New Roman"/>
          <w:rtl w:val="0"/>
          <w:lang w:val="en-US"/>
        </w:rPr>
        <w:t>[6]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Times New Roman" w:cs="Times New Roman" w:hAnsi="Times New Roman" w:eastAsia="Times New Roman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 team of scientists at the Department of Medical Epidemiology and Biostatistics have concluded that children are not the main drivers of the pandemic after carrying out a systemic review of more than 47 separate studies. The same research also stated that children are unlikely to infect their families or teachers which has been backed up by a huge study of 10 million people on asymptomatic transmission, published in the British Medical Journal which concluded that asymptomatic transmission of covid-19 didn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t occur at all</w:t>
      </w:r>
      <w:r>
        <w:rPr>
          <w:rFonts w:ascii="Times New Roman" w:hAnsi="Times New Roman"/>
          <w:rtl w:val="0"/>
          <w:lang w:val="en-US"/>
        </w:rPr>
        <w:t xml:space="preserve"> [7].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Times New Roman" w:cs="Times New Roman" w:hAnsi="Times New Roman" w:eastAsia="Times New Roman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The average age of a Covid death is 82,  there has not been a single case of a child who was not already profoundly ill that has died </w:t>
      </w:r>
      <w:r>
        <w:rPr>
          <w:rFonts w:ascii="Times New Roman" w:hAnsi="Times New Roman" w:hint="default"/>
          <w:rtl w:val="0"/>
          <w:lang w:val="en-US"/>
        </w:rPr>
        <w:t>‘</w:t>
      </w:r>
      <w:r>
        <w:rPr>
          <w:rFonts w:ascii="Times New Roman" w:hAnsi="Times New Roman"/>
          <w:rtl w:val="0"/>
          <w:lang w:val="en-US"/>
        </w:rPr>
        <w:t>WITH</w:t>
      </w:r>
      <w:r>
        <w:rPr>
          <w:rFonts w:ascii="Times New Roman" w:hAnsi="Times New Roman" w:hint="default"/>
          <w:rtl w:val="0"/>
          <w:lang w:val="en-US"/>
        </w:rPr>
        <w:t xml:space="preserve">’ </w:t>
      </w:r>
      <w:r>
        <w:rPr>
          <w:rFonts w:ascii="Times New Roman" w:hAnsi="Times New Roman"/>
          <w:rtl w:val="0"/>
          <w:lang w:val="en-US"/>
        </w:rPr>
        <w:t xml:space="preserve">Covid-19, let alone </w:t>
      </w:r>
      <w:r>
        <w:rPr>
          <w:rFonts w:ascii="Times New Roman" w:hAnsi="Times New Roman" w:hint="default"/>
          <w:rtl w:val="0"/>
          <w:lang w:val="en-US"/>
        </w:rPr>
        <w:t>‘</w:t>
      </w:r>
      <w:r>
        <w:rPr>
          <w:rFonts w:ascii="Times New Roman" w:hAnsi="Times New Roman"/>
          <w:rtl w:val="0"/>
          <w:lang w:val="en-US"/>
        </w:rPr>
        <w:t>from</w:t>
      </w:r>
      <w:r>
        <w:rPr>
          <w:rFonts w:ascii="Times New Roman" w:hAnsi="Times New Roman" w:hint="default"/>
          <w:rtl w:val="0"/>
          <w:lang w:val="en-US"/>
        </w:rPr>
        <w:t xml:space="preserve">’ </w:t>
      </w:r>
      <w:r>
        <w:rPr>
          <w:rFonts w:ascii="Times New Roman" w:hAnsi="Times New Roman"/>
          <w:rtl w:val="0"/>
          <w:lang w:val="fr-FR"/>
        </w:rPr>
        <w:t>in Britain</w:t>
      </w:r>
      <w:r>
        <w:rPr>
          <w:rFonts w:ascii="Times New Roman" w:hAnsi="Times New Roman"/>
          <w:rtl w:val="0"/>
          <w:lang w:val="en-US"/>
        </w:rPr>
        <w:t>. I see absolutely no reason whatsoever to continually subject children to continuous and invasive testing, especially when they are not exhibiting any symptoms of illness.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Times New Roman" w:cs="Times New Roman" w:hAnsi="Times New Roman" w:eastAsia="Times New Roman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In another study by Public Health England, published in the British Medical Journal, it states - </w:t>
      </w:r>
      <w:r>
        <w:rPr>
          <w:rFonts w:ascii="Times New Roman" w:hAnsi="Times New Roman" w:hint="default"/>
          <w:rtl w:val="0"/>
          <w:lang w:val="en-US"/>
        </w:rPr>
        <w:t>“</w:t>
      </w:r>
      <w:r>
        <w:rPr>
          <w:rFonts w:ascii="Times New Roman" w:hAnsi="Times New Roman"/>
          <w:rtl w:val="0"/>
          <w:lang w:val="en-US"/>
        </w:rPr>
        <w:t>The absence of strong evidence that asymptomatic people are a driver of transmission is another good reason for pausing the roll out of mass testing in schools, universities, and communities</w:t>
      </w:r>
      <w:r>
        <w:rPr>
          <w:rFonts w:ascii="Times New Roman" w:hAnsi="Times New Roman" w:hint="default"/>
          <w:rtl w:val="0"/>
          <w:lang w:val="en-US"/>
        </w:rPr>
        <w:t xml:space="preserve">” </w:t>
      </w:r>
      <w:r>
        <w:rPr>
          <w:rFonts w:ascii="Times New Roman" w:hAnsi="Times New Roman"/>
          <w:rtl w:val="0"/>
          <w:lang w:val="en-US"/>
        </w:rPr>
        <w:t>[8]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rtl w:val="0"/>
          <w:lang w:val="en-US"/>
        </w:rPr>
        <w:t>Therefore, we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are declining this on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medical and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ethical reasons, which we do not need to divulge, but as you can see above, the science is overwhelmingly against these testing strategies. Whilst my child is at school, I will not have concerns about keeping </w:t>
      </w:r>
      <w:r>
        <w:rPr>
          <w:rFonts w:ascii="Times New Roman" w:hAnsi="Times New Roman"/>
          <w:sz w:val="24"/>
          <w:szCs w:val="24"/>
          <w:rtl w:val="0"/>
          <w:lang w:val="en-US"/>
        </w:rPr>
        <w:t>(HIM/HER)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safe and free from harm. A school is a place of education and I would like to remind you that it is illegal to refuse a child education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on the basis of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declining </w:t>
      </w:r>
      <w:r>
        <w:rPr>
          <w:rFonts w:ascii="Times New Roman" w:hAnsi="Times New Roman"/>
          <w:sz w:val="24"/>
          <w:szCs w:val="24"/>
          <w:rtl w:val="0"/>
          <w:lang w:val="en-US"/>
        </w:rPr>
        <w:t>to be tested.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When signing the agreement to enrol (XXX) into the school, we did not agree for any testing or intervention. (XXX) enjoys the school, but as per (HIS/HER) rights, I will be taking legal action and holding the school and the individual personally liable if ANYONE tests (HIM/HER) - as stated, we DO NOT give consent.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Kind regards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[1]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"https://cdn.website-editor.net/6f54caea7c6f4adfba8399428f3c0b0c/files/uploaded/Innova-SARS-Cov-2-Antigen-test-IFU.pdf"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https://cdn.website-editor.net/6f54caea7c6f4adfba8399428f3c0b0c/files/uploaded/Innova-SARS-Cov-2-Antigen-test-IFU.pdf</w:t>
      </w:r>
      <w:r>
        <w:rPr/>
        <w:fldChar w:fldCharType="end" w:fldLock="0"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[2]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"https://www.epa.gov/sites/production/files/2016-09/documents/ethylene-oxide.pdf"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https://www.epa.gov/sites/production/files/2016-09/documents/ethylene-oxide.pdf</w:t>
      </w:r>
      <w:r>
        <w:rPr/>
        <w:fldChar w:fldCharType="end" w:fldLock="0"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[3]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"https://www.ncbi.nlm.nih.gov/books/NBK208167/"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https://www.ncbi.nlm.nih.gov/books/NBK208167/</w:t>
      </w:r>
      <w:r>
        <w:rPr/>
        <w:fldChar w:fldCharType="end" w:fldLock="0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[4] -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"https://www.bmj.com/content/371/bmj.m4941?ijkey=d740dd9b9acc2b5a861ea203e42064d195b6f02e&amp;keytype2=tf_ipsecsha"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https://www.bmj.com/content/371/bmj.m4941?ijkey=d740dd9b9acc2b5a861ea203e42064d195b6f02e&amp;keytype2=tf_ipsecsha</w:t>
      </w:r>
      <w:r>
        <w:rPr/>
        <w:fldChar w:fldCharType="end" w:fldLock="0"/>
      </w:r>
      <w:r>
        <w:rPr>
          <w:rStyle w:val="None"/>
          <w:rFonts w:ascii="Times New Roman" w:hAnsi="Times New Roman"/>
          <w:rtl w:val="0"/>
          <w:lang w:val="en-US"/>
        </w:rPr>
        <w:t>)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[5] -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"https://www.bmj.com/content/371/bmj.m4848?ijkey=59b33a7ebf5a97073ffa050d1923b7af1a949fce&amp;keytype2=tf_ipsecsha"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nl-NL"/>
        </w:rPr>
        <w:t>https://www.bmj.com/content/371/bmj.m4848?ijkey=59b33a7ebf5a97073ffa050d1923b7af1a949fce&amp;keytype2=tf_ipsecsha</w:t>
      </w:r>
      <w:r>
        <w:rPr/>
        <w:fldChar w:fldCharType="end" w:fldLock="0"/>
      </w:r>
      <w:r>
        <w:rPr>
          <w:rStyle w:val="None"/>
          <w:rFonts w:ascii="Times New Roman" w:hAnsi="Times New Roman"/>
          <w:rtl w:val="0"/>
          <w:lang w:val="en-US"/>
        </w:rPr>
        <w:t>)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[6] -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"https://www.bmj.com/content/371/bmj.m4916?ijkey=6b6478434764d5b13f1f0a88d02b60f7c30baf09&amp;keytype2=tf_ipsecsha"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nl-NL"/>
        </w:rPr>
        <w:t>https://www.bmj.com/content/371/bmj.m4916?ijkey=6b6478434764d5b13f1f0a88d02b60f7c30baf09&amp;keytype2=tf_ipsecsha</w:t>
      </w:r>
      <w:r>
        <w:rPr/>
        <w:fldChar w:fldCharType="end" w:fldLock="0"/>
      </w:r>
      <w:r>
        <w:rPr>
          <w:rStyle w:val="None"/>
          <w:rFonts w:ascii="Times New Roman" w:hAnsi="Times New Roman"/>
          <w:rtl w:val="0"/>
          <w:lang w:val="en-US"/>
        </w:rPr>
        <w:t>)</w:t>
      </w:r>
    </w:p>
    <w:p>
      <w:pPr>
        <w:pStyle w:val="Body A"/>
      </w:pPr>
      <w:r>
        <w:rPr>
          <w:rStyle w:val="None"/>
          <w:rFonts w:ascii="Times New Roman" w:hAnsi="Times New Roman"/>
          <w:rtl w:val="0"/>
          <w:lang w:val="en-US"/>
        </w:rPr>
        <w:t xml:space="preserve">[7] -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"https://www.bmj.com/content/371/bmj.m4695"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https://www.bmj.com/content/371/bmj.m4695</w:t>
      </w:r>
      <w:r>
        <w:rPr/>
        <w:fldChar w:fldCharType="end" w:fldLock="0"/>
      </w:r>
    </w:p>
    <w:p>
      <w:pPr>
        <w:pStyle w:val="Body A"/>
      </w:pPr>
      <w:r>
        <w:rPr>
          <w:rtl w:val="0"/>
        </w:rPr>
        <w:t xml:space="preserve">[8] -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"https://www.bmj.com/content/371/bmj.m4851?fbclid=IwAR2DM5AJakLqtVnLrikEYQRz2oA7WVCQzIIchbOOaioZv80Oi1KCnkrbNgo"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https://www.bmj.com/content/371/bmj.m4851?fbclid=IwAR2DM5AJakLqtVnLrikEYQRz2oA7WVCQzIIchbOOaioZv80Oi1KCnkrbNgo</w:t>
      </w:r>
      <w:r>
        <w:rPr/>
        <w:fldChar w:fldCharType="end" w:fldLock="0"/>
      </w:r>
      <w:r>
        <w:rPr>
          <w:rStyle w:val="None"/>
          <w:rFonts w:ascii="Times New Roman" w:hAnsi="Times New Roman"/>
          <w:rtl w:val="0"/>
          <w:lang w:val="en-US"/>
        </w:rPr>
        <w:t>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rFonts w:ascii="Times New Roman" w:cs="Times New Roman" w:hAnsi="Times New Roman" w:eastAsia="Times New Roman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None"/>
    <w:next w:val="Hyperlink.2"/>
    <w:rPr>
      <w:rFonts w:ascii="Times New Roman" w:cs="Times New Roman" w:hAnsi="Times New Roman" w:eastAsia="Times New Roman"/>
      <w:outline w:val="0"/>
      <w:color w:val="0000ff"/>
      <w:u w:val="single" w:color="0000ff"/>
      <w:lang w:val="nl-NL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